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9A82" w14:textId="2F31FB31" w:rsidR="00693D8F" w:rsidRDefault="005612C2" w:rsidP="00693D8F">
      <w:pPr>
        <w:spacing w:line="360" w:lineRule="auto"/>
        <w:rPr>
          <w:rFonts w:eastAsia="Calibri" w:cs="Times New Roman"/>
          <w:b/>
        </w:rPr>
      </w:pPr>
      <w:r w:rsidRPr="005612C2">
        <w:rPr>
          <w:rFonts w:eastAsia="Calibri" w:cs="Times New Roman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26CD6D9A" w14:textId="77777777" w:rsidR="005612C2" w:rsidRPr="00B27F97" w:rsidRDefault="005612C2" w:rsidP="00693D8F">
      <w:pPr>
        <w:spacing w:line="360" w:lineRule="auto"/>
        <w:rPr>
          <w:rFonts w:cs="Times New Roman"/>
          <w:szCs w:val="24"/>
        </w:rPr>
      </w:pPr>
    </w:p>
    <w:p w14:paraId="012132FD" w14:textId="279BB1E4" w:rsidR="00693D8F" w:rsidRPr="00B27F97" w:rsidRDefault="00693D8F" w:rsidP="00693D8F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aruanne</w:t>
      </w:r>
      <w:r w:rsidRPr="00B27F97">
        <w:rPr>
          <w:rFonts w:cs="Times New Roman"/>
          <w:szCs w:val="24"/>
        </w:rPr>
        <w:t xml:space="preserve"> palume saata hiljemalt </w:t>
      </w:r>
      <w:r>
        <w:rPr>
          <w:rFonts w:cs="Times New Roman"/>
          <w:szCs w:val="24"/>
        </w:rPr>
        <w:t>2 kuu jooksul peale projekti lõppemist</w:t>
      </w:r>
      <w:r w:rsidRPr="00B27F97">
        <w:rPr>
          <w:rFonts w:cs="Times New Roman"/>
          <w:szCs w:val="24"/>
        </w:rPr>
        <w:t xml:space="preserve"> </w:t>
      </w:r>
      <w:hyperlink r:id="rId5" w:history="1">
        <w:r w:rsidRPr="00CE3586">
          <w:rPr>
            <w:rStyle w:val="Hy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proofErr w:type="spellStart"/>
      <w:r w:rsidRPr="004A298F">
        <w:rPr>
          <w:rFonts w:cs="Times New Roman"/>
          <w:b/>
          <w:szCs w:val="24"/>
        </w:rPr>
        <w:t>IOT_aruanne</w:t>
      </w:r>
      <w:proofErr w:type="spellEnd"/>
      <w:r w:rsidRPr="004A298F">
        <w:rPr>
          <w:rFonts w:cs="Times New Roman"/>
          <w:b/>
          <w:szCs w:val="24"/>
        </w:rPr>
        <w:t>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71ADCB81" w14:textId="77777777" w:rsidR="00693D8F" w:rsidRDefault="00693D8F" w:rsidP="00693D8F">
      <w:pPr>
        <w:spacing w:line="360" w:lineRule="auto"/>
        <w:rPr>
          <w:rFonts w:cs="Times New Roman"/>
          <w:szCs w:val="24"/>
        </w:rPr>
      </w:pPr>
    </w:p>
    <w:p w14:paraId="33650B87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212EF0" w14:textId="77777777" w:rsidTr="005F5F9D">
        <w:tc>
          <w:tcPr>
            <w:tcW w:w="3256" w:type="dxa"/>
          </w:tcPr>
          <w:p w14:paraId="4677FC3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4133F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806" w:type="dxa"/>
          </w:tcPr>
          <w:p w14:paraId="717D4DDE" w14:textId="5BA21DBE" w:rsidR="00401CE2" w:rsidRDefault="001E3E3D" w:rsidP="00401CE2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MTÜ Filmi Esmasalvestuse Tootjate Ühing kodulehe funktsionaalsuse suurendamine läbi liikmetele mõeldud kasutajaliidese tehnilise teostamise.</w:t>
            </w:r>
          </w:p>
        </w:tc>
      </w:tr>
      <w:tr w:rsidR="00693D8F" w14:paraId="19D98323" w14:textId="77777777" w:rsidTr="005F5F9D">
        <w:tc>
          <w:tcPr>
            <w:tcW w:w="3256" w:type="dxa"/>
          </w:tcPr>
          <w:p w14:paraId="5081BEDF" w14:textId="7CF4F7A8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</w:tc>
        <w:tc>
          <w:tcPr>
            <w:tcW w:w="5806" w:type="dxa"/>
          </w:tcPr>
          <w:p w14:paraId="1C844861" w14:textId="264F2B8D" w:rsidR="00693D8F" w:rsidRDefault="00401CE2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MTÜ </w:t>
            </w:r>
            <w:r w:rsidR="001E3E3D">
              <w:rPr>
                <w:rFonts w:cs="Times New Roman"/>
                <w:b/>
                <w:szCs w:val="24"/>
              </w:rPr>
              <w:t>Filmi Esmasalvestuse Tootjate Ühing</w:t>
            </w:r>
          </w:p>
        </w:tc>
      </w:tr>
      <w:tr w:rsidR="00693D8F" w14:paraId="7FF75D7E" w14:textId="77777777" w:rsidTr="005F5F9D">
        <w:tc>
          <w:tcPr>
            <w:tcW w:w="3256" w:type="dxa"/>
          </w:tcPr>
          <w:p w14:paraId="48889D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Avalduse alusel saadud summa</w:t>
            </w:r>
          </w:p>
        </w:tc>
        <w:tc>
          <w:tcPr>
            <w:tcW w:w="5806" w:type="dxa"/>
          </w:tcPr>
          <w:p w14:paraId="3C14AB2B" w14:textId="6FC3A2F5" w:rsidR="00693D8F" w:rsidRDefault="001E3E3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19 125</w:t>
            </w:r>
            <w:r w:rsidR="00A561F8">
              <w:rPr>
                <w:rFonts w:cs="Times New Roman"/>
                <w:b/>
                <w:szCs w:val="24"/>
              </w:rPr>
              <w:t>.00</w:t>
            </w:r>
          </w:p>
        </w:tc>
      </w:tr>
    </w:tbl>
    <w:p w14:paraId="4FCAB8E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2F24B284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FD45A2" w14:textId="77777777" w:rsidTr="00401CE2">
        <w:tc>
          <w:tcPr>
            <w:tcW w:w="3256" w:type="dxa"/>
          </w:tcPr>
          <w:p w14:paraId="2DE12CB3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684F0959" w:rsidR="00693D8F" w:rsidRDefault="001E3E3D" w:rsidP="00401CE2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Piret Tibbo-Hudgins</w:t>
            </w:r>
            <w:r w:rsidR="00401CE2">
              <w:rPr>
                <w:rFonts w:cs="Times New Roman"/>
                <w:szCs w:val="24"/>
              </w:rPr>
              <w:br/>
              <w:t xml:space="preserve">MTÜ Eesti Filmitööstuse Klaster juhatuse </w:t>
            </w:r>
            <w:r>
              <w:rPr>
                <w:rFonts w:cs="Times New Roman"/>
                <w:szCs w:val="24"/>
              </w:rPr>
              <w:t>li</w:t>
            </w:r>
            <w:r w:rsidR="00A561F8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ge</w:t>
            </w:r>
          </w:p>
        </w:tc>
      </w:tr>
      <w:tr w:rsidR="00693D8F" w14:paraId="7BCE9DA2" w14:textId="77777777" w:rsidTr="00401CE2">
        <w:tc>
          <w:tcPr>
            <w:tcW w:w="3256" w:type="dxa"/>
          </w:tcPr>
          <w:p w14:paraId="62654A6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3F4F8285" w:rsidR="00693D8F" w:rsidRDefault="00401CE2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  <w:r w:rsidR="001E3E3D">
              <w:rPr>
                <w:rFonts w:cs="Times New Roman"/>
                <w:szCs w:val="24"/>
              </w:rPr>
              <w:t>467769</w:t>
            </w:r>
          </w:p>
        </w:tc>
      </w:tr>
      <w:tr w:rsidR="00693D8F" w14:paraId="574CE83B" w14:textId="77777777" w:rsidTr="00401CE2">
        <w:tc>
          <w:tcPr>
            <w:tcW w:w="3256" w:type="dxa"/>
          </w:tcPr>
          <w:p w14:paraId="408248DC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571EE920" w:rsidR="00693D8F" w:rsidRDefault="001E3E3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piret.tibbo.hudgins@gmail.com</w:t>
            </w:r>
          </w:p>
        </w:tc>
      </w:tr>
    </w:tbl>
    <w:p w14:paraId="3C76124D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18A8D8E9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0961A52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97C6DB1" w14:textId="77777777" w:rsidR="00693D8F" w:rsidRDefault="00693D8F" w:rsidP="00693D8F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Projekti toimumise 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4C51F3AB" w14:textId="77777777" w:rsidTr="004A5EFC">
        <w:tc>
          <w:tcPr>
            <w:tcW w:w="9062" w:type="dxa"/>
          </w:tcPr>
          <w:p w14:paraId="22A26D90" w14:textId="72BD92AB" w:rsidR="00693D8F" w:rsidRDefault="00D47DE7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</w:t>
            </w:r>
            <w:r w:rsidR="00A561F8">
              <w:rPr>
                <w:rFonts w:cs="Times New Roman"/>
                <w:szCs w:val="24"/>
              </w:rPr>
              <w:t>01.</w:t>
            </w:r>
            <w:r>
              <w:rPr>
                <w:rFonts w:cs="Times New Roman"/>
                <w:szCs w:val="24"/>
              </w:rPr>
              <w:t>2024 – 31.</w:t>
            </w:r>
            <w:r w:rsidR="00A561F8">
              <w:rPr>
                <w:rFonts w:cs="Times New Roman"/>
                <w:szCs w:val="24"/>
              </w:rPr>
              <w:t>01.</w:t>
            </w:r>
            <w:r>
              <w:rPr>
                <w:rFonts w:cs="Times New Roman"/>
                <w:szCs w:val="24"/>
              </w:rPr>
              <w:t>2025</w:t>
            </w:r>
          </w:p>
        </w:tc>
      </w:tr>
    </w:tbl>
    <w:p w14:paraId="7EFDD676" w14:textId="77777777" w:rsidR="00693D8F" w:rsidRPr="00524DCD" w:rsidRDefault="00693D8F" w:rsidP="00693D8F">
      <w:pPr>
        <w:spacing w:line="360" w:lineRule="auto"/>
        <w:rPr>
          <w:rFonts w:cs="Times New Roman"/>
          <w:szCs w:val="24"/>
        </w:rPr>
      </w:pPr>
    </w:p>
    <w:p w14:paraId="6B1969EC" w14:textId="77777777" w:rsidR="00693D8F" w:rsidRDefault="00693D8F" w:rsidP="00693D8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lühikokkuvõte ja saavutatud 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1ED6095E" w14:textId="77777777" w:rsidTr="004A5EFC">
        <w:tc>
          <w:tcPr>
            <w:tcW w:w="9062" w:type="dxa"/>
          </w:tcPr>
          <w:p w14:paraId="32C74937" w14:textId="2EDF16AB" w:rsidR="007228B3" w:rsidRPr="00975EB1" w:rsidRDefault="00A561F8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>Filmi Esmasalvestuse Tootjate Ühingu (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FETÜ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>)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liikmete arv ei 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ole ülemäära suur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, 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kuid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liikmete toodetud filmide ja sarjade 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hulk on 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märkimisväärne, kattes erinevates vormides suurema enamuse Eesti 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filmi</w:t>
            </w:r>
            <w:r w:rsidR="00173517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leviturust.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Kuna FETÜ on loodud peamiselt erakopeerimise õiguste esindamiseks ning tasude jaotamiseks, vajas organisatsioon tõhusat mehhanismi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ehk kasutajaliidest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, mille abil töödelda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  <w:r w:rsidR="00271E79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ja süstematiseerida filme puudutavat informatsiooni. Seni oli seda tehtud käsitööna.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  <w:r w:rsidR="007228B3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Kasutajaliides planeeriti ühendatuna Eesti Filmi Andmebaasi andmetega, mis omakorda on FETÜ liikmelisuse üks aluseid: eristus professionaalsete ja hobifilmiteoste vahel on reglementeeritud sissekande olemasoluga filmi andmebaasis. Sama andmebaasi kasutab ka riikliku filmirahastuse esindaja Eesti Filmi Instituut.</w:t>
            </w:r>
          </w:p>
          <w:p w14:paraId="056CC634" w14:textId="77777777" w:rsidR="007228B3" w:rsidRPr="00975EB1" w:rsidRDefault="007228B3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  <w:p w14:paraId="40599E99" w14:textId="6A8BFACE" w:rsidR="00975EB1" w:rsidRDefault="007228B3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Kasutajaliidese tegemine osutus aga praktikas 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palju</w:t>
            </w: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vaevalise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ma</w:t>
            </w: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ks ja aeganõudva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ma</w:t>
            </w: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ks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, kui 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esialgu 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eeldasime.</w:t>
            </w: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Esimene takistus oli kogu Eesti Filmi Andmebaasi tehniline uuendamine. Uus koduleht pidi valmima juulis 2024, kuid avati detsembris 2024. Andmebaasi uuendamine toimus paralleelselt meie kasutajaliidesega, seetõttu hakkasid </w:t>
            </w:r>
            <w:r w:rsidR="005E5800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ka 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meie </w:t>
            </w: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tööd venima.</w:t>
            </w:r>
            <w:r w:rsidR="005E5800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</w:p>
          <w:p w14:paraId="56C66FA2" w14:textId="77777777" w:rsidR="00975EB1" w:rsidRDefault="00975EB1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  <w:p w14:paraId="0088A26E" w14:textId="492620D5" w:rsidR="00975EB1" w:rsidRPr="00975EB1" w:rsidRDefault="005E5800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>Teine tõrge puudutas FETÜ kasutajaliidesele vajalikke andmete komplekssust</w:t>
            </w:r>
            <w:r w:rsidR="00137EBE"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. FETÜ tasude jaotamine põhineb kahel näitajal: </w:t>
            </w:r>
          </w:p>
          <w:p w14:paraId="26844ED0" w14:textId="7BB59F71" w:rsidR="00975EB1" w:rsidRPr="00975EB1" w:rsidRDefault="00975EB1" w:rsidP="00975EB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75EB1">
              <w:rPr>
                <w:rFonts w:ascii="Times New Roman" w:hAnsi="Times New Roman" w:cs="Times New Roman"/>
              </w:rPr>
              <w:t xml:space="preserve">50% jaotamisele tulevast summast jagatakse proportsionaalselt </w:t>
            </w:r>
            <w:r w:rsidR="00A561F8">
              <w:rPr>
                <w:rFonts w:ascii="Times New Roman" w:hAnsi="Times New Roman" w:cs="Times New Roman"/>
              </w:rPr>
              <w:t>kolme</w:t>
            </w:r>
            <w:r w:rsidRPr="00975EB1">
              <w:rPr>
                <w:rFonts w:ascii="Times New Roman" w:hAnsi="Times New Roman" w:cs="Times New Roman"/>
              </w:rPr>
              <w:t xml:space="preserve"> viimase kalendriaasta jooksul Eesti kinolevis osalenud filmide tootjate vahel,</w:t>
            </w:r>
            <w:r w:rsidRPr="00975EB1">
              <w:rPr>
                <w:rFonts w:ascii="Times New Roman" w:hAnsi="Times New Roman" w:cs="Times New Roman"/>
              </w:rPr>
              <w:t xml:space="preserve"> </w:t>
            </w:r>
            <w:r w:rsidRPr="00975EB1">
              <w:rPr>
                <w:rFonts w:ascii="Times New Roman" w:hAnsi="Times New Roman" w:cs="Times New Roman"/>
              </w:rPr>
              <w:t xml:space="preserve">kusjuures igast liigist filmil on ühesugune väärtuspunkt 1. </w:t>
            </w:r>
            <w:r w:rsidRPr="00975EB1">
              <w:rPr>
                <w:rFonts w:ascii="Times New Roman" w:hAnsi="Times New Roman" w:cs="Times New Roman"/>
                <w:color w:val="212121"/>
              </w:rPr>
              <w:t>Kui filmil on rohkem kui üks tootja, jaguneb väärtuspunkt FETÜ liikmeks olevate tootjate vahel vastavalt peatootja edastatud informatsioonile tootjate osaluse kohta</w:t>
            </w:r>
            <w:r w:rsidRPr="00975EB1">
              <w:rPr>
                <w:rFonts w:ascii="Times New Roman" w:hAnsi="Times New Roman" w:cs="Times New Roman"/>
                <w:color w:val="212121"/>
              </w:rPr>
              <w:t>;</w:t>
            </w:r>
          </w:p>
          <w:p w14:paraId="31C8B8EB" w14:textId="6F366523" w:rsidR="00975EB1" w:rsidRDefault="00975EB1" w:rsidP="00975EB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</w:t>
            </w:r>
            <w:r w:rsidRPr="00975EB1">
              <w:rPr>
                <w:rFonts w:ascii="Times New Roman" w:hAnsi="Times New Roman" w:cs="Times New Roman"/>
              </w:rPr>
              <w:t xml:space="preserve">lejäänud 50% jaotamisele tulevast summast jagatakse proportsionaalselt FETÜ liikmete vahel Eesti Filmi Andmebaasis esindatud sissekannete alusel. Igale </w:t>
            </w:r>
            <w:r>
              <w:rPr>
                <w:rFonts w:ascii="Times New Roman" w:hAnsi="Times New Roman" w:cs="Times New Roman"/>
              </w:rPr>
              <w:t>filmi</w:t>
            </w:r>
            <w:r w:rsidRPr="00975EB1">
              <w:rPr>
                <w:rFonts w:ascii="Times New Roman" w:hAnsi="Times New Roman" w:cs="Times New Roman"/>
              </w:rPr>
              <w:t xml:space="preserve"> andmebaasis märgitud teosele määratakse filmi liik</w:t>
            </w:r>
            <w:r>
              <w:rPr>
                <w:rFonts w:ascii="Times New Roman" w:hAnsi="Times New Roman" w:cs="Times New Roman"/>
              </w:rPr>
              <w:t xml:space="preserve"> ning iga filmi </w:t>
            </w:r>
            <w:r w:rsidRPr="00975EB1">
              <w:rPr>
                <w:rFonts w:ascii="Times New Roman" w:hAnsi="Times New Roman" w:cs="Times New Roman"/>
              </w:rPr>
              <w:t xml:space="preserve">eest arvestatakse vastavalt tema liigile väärtuspunkt, mis tootjate lõikes summeeritakse. </w:t>
            </w:r>
            <w:r w:rsidRPr="00975EB1">
              <w:rPr>
                <w:rFonts w:ascii="Times New Roman" w:hAnsi="Times New Roman" w:cs="Times New Roman"/>
                <w:color w:val="212121"/>
              </w:rPr>
              <w:t xml:space="preserve"> </w:t>
            </w:r>
          </w:p>
          <w:p w14:paraId="11A04AE7" w14:textId="547CFF06" w:rsidR="00137EBE" w:rsidRDefault="00137EBE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  <w:p w14:paraId="79081984" w14:textId="0041EB06" w:rsidR="00975EB1" w:rsidRDefault="00975EB1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Kasutajaliidesele vajalik andmestik ei olnud 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täielikult 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>sünkroonis andmebaasi andmetega (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>muu hulgas ei olnud näiteks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animafilmi puhul määratud, kas tegemist on pika või lühianimafilmiga, sama puudutas dokumentaalfilme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jne</w:t>
            </w: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). Ebakohtade väljaselgitamine ja parandamine oli suur töö, mis võttis omakorda aega. </w:t>
            </w:r>
          </w:p>
          <w:p w14:paraId="7934BF0A" w14:textId="77777777" w:rsidR="00975EB1" w:rsidRDefault="00975EB1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</w:p>
          <w:p w14:paraId="5B942A3A" w14:textId="6E257452" w:rsidR="00975EB1" w:rsidRPr="00975EB1" w:rsidRDefault="00975EB1" w:rsidP="00240A4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Täna võib öelda, et FETÜ kasutajaliides on testimiseks valmis. Testimine ise toimub 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>selle aasta erakopeerimise jaotuskava raames. Me proovime läbi, kuidas süsteem toimib ning millisel määral vajab see täiustamist või parandamist</w:t>
            </w:r>
            <w:r w:rsidR="00BA3B11">
              <w:rPr>
                <w:rFonts w:eastAsia="Times New Roman" w:cs="Times New Roman"/>
                <w:color w:val="000000"/>
                <w:szCs w:val="24"/>
                <w:lang w:eastAsia="et-EE"/>
              </w:rPr>
              <w:t>, millega kaasneb ka teatud lisakulu.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Selge on see, et minimaalne käsitöö (üksikute teoste kontroll) jääb alles, kuid informatsiooni 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põhimassi 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administreerimine nii liikmete kui 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ka 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jaotuskava eest vastutavale isikule 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>saab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kasutajaliidese abil 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olema hõlpus ja ökonoomne. </w:t>
            </w:r>
            <w:r w:rsidR="00BA3B11">
              <w:rPr>
                <w:rFonts w:eastAsia="Times New Roman" w:cs="Times New Roman"/>
                <w:color w:val="000000"/>
                <w:szCs w:val="24"/>
                <w:lang w:eastAsia="et-EE"/>
              </w:rPr>
              <w:t>Täname toetuse eest!</w:t>
            </w:r>
            <w:r w:rsidR="00A561F8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  <w:r w:rsidR="002738DE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     </w:t>
            </w:r>
          </w:p>
          <w:p w14:paraId="0DD42682" w14:textId="779BACC5" w:rsidR="00693D8F" w:rsidRPr="00A561F8" w:rsidRDefault="007228B3" w:rsidP="00A561F8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975EB1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</w:p>
        </w:tc>
      </w:tr>
    </w:tbl>
    <w:p w14:paraId="6230C1B9" w14:textId="6E8C8BC3" w:rsidR="00693D8F" w:rsidRDefault="00693D8F" w:rsidP="00A561F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r w:rsidRPr="00FF1BB8">
        <w:rPr>
          <w:rFonts w:cs="Times New Roman"/>
          <w:b/>
          <w:szCs w:val="24"/>
        </w:rPr>
        <w:t>EELARVE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693D8F" w14:paraId="0641CFEE" w14:textId="77777777" w:rsidTr="00934F57">
        <w:tc>
          <w:tcPr>
            <w:tcW w:w="3964" w:type="dxa"/>
          </w:tcPr>
          <w:p w14:paraId="0384BD63" w14:textId="77777777" w:rsidR="00693D8F" w:rsidRPr="00727C72" w:rsidRDefault="00693D8F" w:rsidP="00934F57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94" w:type="dxa"/>
          </w:tcPr>
          <w:p w14:paraId="16623704" w14:textId="77777777" w:rsidR="00693D8F" w:rsidRDefault="00693D8F" w:rsidP="00934F5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404" w:type="dxa"/>
          </w:tcPr>
          <w:p w14:paraId="50E542D5" w14:textId="77777777" w:rsidR="00693D8F" w:rsidRDefault="00693D8F" w:rsidP="00934F5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390C8EB4" w14:textId="77777777" w:rsidTr="00934F57">
        <w:tc>
          <w:tcPr>
            <w:tcW w:w="3964" w:type="dxa"/>
          </w:tcPr>
          <w:p w14:paraId="25D29C2E" w14:textId="34E72790" w:rsidR="00693D8F" w:rsidRDefault="00D47DE7" w:rsidP="00A84C23">
            <w:pPr>
              <w:spacing w:line="276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FETÜ kasutajaliidese tehniline teostamine</w:t>
            </w:r>
            <w:r w:rsidR="00BA3B11">
              <w:rPr>
                <w:rFonts w:cs="Times New Roman"/>
                <w:bCs/>
                <w:szCs w:val="24"/>
              </w:rPr>
              <w:t xml:space="preserve"> (</w:t>
            </w:r>
            <w:proofErr w:type="spellStart"/>
            <w:r w:rsidR="00BA3B11" w:rsidRPr="00BA3B11">
              <w:rPr>
                <w:rFonts w:cs="Times New Roman"/>
                <w:bCs/>
                <w:i/>
                <w:iCs/>
                <w:szCs w:val="24"/>
              </w:rPr>
              <w:t>Opus</w:t>
            </w:r>
            <w:proofErr w:type="spellEnd"/>
            <w:r w:rsidR="00BA3B11" w:rsidRPr="00BA3B11">
              <w:rPr>
                <w:rFonts w:cs="Times New Roman"/>
                <w:bCs/>
                <w:i/>
                <w:iCs/>
                <w:szCs w:val="24"/>
              </w:rPr>
              <w:t xml:space="preserve"> Online</w:t>
            </w:r>
            <w:r w:rsidR="00BA3B11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694" w:type="dxa"/>
          </w:tcPr>
          <w:p w14:paraId="1BBE4577" w14:textId="73B47805" w:rsidR="00693D8F" w:rsidRPr="00934F57" w:rsidRDefault="00D47DE7" w:rsidP="00934F57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</w:t>
            </w:r>
            <w:r w:rsidR="00934F57" w:rsidRPr="00934F57">
              <w:rPr>
                <w:rFonts w:cs="Times New Roman"/>
                <w:bCs/>
                <w:szCs w:val="24"/>
              </w:rPr>
              <w:t xml:space="preserve"> 000</w:t>
            </w:r>
          </w:p>
        </w:tc>
        <w:tc>
          <w:tcPr>
            <w:tcW w:w="2404" w:type="dxa"/>
          </w:tcPr>
          <w:p w14:paraId="6D7B94E9" w14:textId="50377ADE" w:rsidR="00693D8F" w:rsidRPr="00934F57" w:rsidRDefault="00173517" w:rsidP="00934F57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19 520</w:t>
            </w:r>
          </w:p>
        </w:tc>
      </w:tr>
      <w:tr w:rsidR="00693D8F" w14:paraId="58B813F7" w14:textId="77777777" w:rsidTr="00934F57">
        <w:tc>
          <w:tcPr>
            <w:tcW w:w="3964" w:type="dxa"/>
          </w:tcPr>
          <w:p w14:paraId="31CB6423" w14:textId="53BECF8E" w:rsidR="00693D8F" w:rsidRPr="00934F57" w:rsidRDefault="00D47DE7" w:rsidP="00934F57">
            <w:pPr>
              <w:spacing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Kokkulepete sõlmimine Eesti Filmi Andmebaasiga</w:t>
            </w:r>
            <w:r w:rsidR="00934F57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2CD56E6" w14:textId="18CA62BD" w:rsidR="00693D8F" w:rsidRPr="00934F57" w:rsidRDefault="00D47DE7" w:rsidP="00934F57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  <w:r w:rsidR="00934F57" w:rsidRPr="00934F57">
              <w:rPr>
                <w:rFonts w:cs="Times New Roman"/>
                <w:bCs/>
                <w:szCs w:val="24"/>
              </w:rPr>
              <w:t xml:space="preserve"> 000</w:t>
            </w:r>
          </w:p>
        </w:tc>
        <w:tc>
          <w:tcPr>
            <w:tcW w:w="2404" w:type="dxa"/>
          </w:tcPr>
          <w:p w14:paraId="7A8B9AA1" w14:textId="05962A88" w:rsidR="00693D8F" w:rsidRPr="00934F57" w:rsidRDefault="00A561F8" w:rsidP="00934F57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--</w:t>
            </w:r>
          </w:p>
        </w:tc>
      </w:tr>
      <w:tr w:rsidR="00693D8F" w14:paraId="556F1579" w14:textId="77777777" w:rsidTr="00934F57">
        <w:tc>
          <w:tcPr>
            <w:tcW w:w="3964" w:type="dxa"/>
          </w:tcPr>
          <w:p w14:paraId="28E2BFC7" w14:textId="4552CDA4" w:rsidR="00693D8F" w:rsidRPr="00934F57" w:rsidRDefault="00D47DE7" w:rsidP="00934F57">
            <w:pPr>
              <w:spacing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Projekti juhtimine</w:t>
            </w:r>
            <w:r w:rsidR="00A561F8">
              <w:rPr>
                <w:rFonts w:cs="Times New Roman"/>
                <w:bCs/>
                <w:szCs w:val="24"/>
              </w:rPr>
              <w:t xml:space="preserve"> (</w:t>
            </w:r>
            <w:r w:rsidR="00EF31E6" w:rsidRPr="00BA3B11">
              <w:rPr>
                <w:rFonts w:cs="Times New Roman"/>
                <w:bCs/>
                <w:i/>
                <w:iCs/>
                <w:szCs w:val="24"/>
              </w:rPr>
              <w:t xml:space="preserve">palgakulu </w:t>
            </w:r>
            <w:r w:rsidR="00A561F8" w:rsidRPr="00BA3B11">
              <w:rPr>
                <w:rFonts w:cs="Times New Roman"/>
                <w:bCs/>
                <w:i/>
                <w:iCs/>
                <w:szCs w:val="24"/>
              </w:rPr>
              <w:t>1 aasta</w:t>
            </w:r>
            <w:r w:rsidR="00BA3B11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694" w:type="dxa"/>
          </w:tcPr>
          <w:p w14:paraId="1DE3EEFD" w14:textId="71271B43" w:rsidR="00693D8F" w:rsidRPr="00934F57" w:rsidRDefault="00D47DE7" w:rsidP="00934F57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</w:t>
            </w:r>
            <w:r w:rsidR="00934F57" w:rsidRPr="00934F57">
              <w:rPr>
                <w:rFonts w:cs="Times New Roman"/>
                <w:bCs/>
                <w:szCs w:val="24"/>
              </w:rPr>
              <w:t>00</w:t>
            </w:r>
          </w:p>
        </w:tc>
        <w:tc>
          <w:tcPr>
            <w:tcW w:w="2404" w:type="dxa"/>
          </w:tcPr>
          <w:p w14:paraId="4C543481" w14:textId="076547DC" w:rsidR="00693D8F" w:rsidRPr="00934F57" w:rsidRDefault="00EF31E6" w:rsidP="00EF31E6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5 004</w:t>
            </w:r>
          </w:p>
        </w:tc>
      </w:tr>
      <w:tr w:rsidR="00693D8F" w14:paraId="4BF1F769" w14:textId="77777777" w:rsidTr="00934F57">
        <w:tc>
          <w:tcPr>
            <w:tcW w:w="3964" w:type="dxa"/>
          </w:tcPr>
          <w:p w14:paraId="273F38F3" w14:textId="77777777" w:rsidR="00693D8F" w:rsidRDefault="00693D8F" w:rsidP="00934F57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2694" w:type="dxa"/>
          </w:tcPr>
          <w:p w14:paraId="3F787A8D" w14:textId="18D4D6CE" w:rsidR="00693D8F" w:rsidRPr="005F5F9D" w:rsidRDefault="00D47DE7" w:rsidP="00934F57">
            <w:pPr>
              <w:spacing w:line="276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25 5</w:t>
            </w:r>
            <w:r w:rsidR="00934F57" w:rsidRPr="005F5F9D">
              <w:rPr>
                <w:rFonts w:cs="Times New Roman"/>
                <w:b/>
                <w:szCs w:val="24"/>
              </w:rPr>
              <w:t>00</w:t>
            </w:r>
          </w:p>
        </w:tc>
        <w:tc>
          <w:tcPr>
            <w:tcW w:w="2404" w:type="dxa"/>
          </w:tcPr>
          <w:p w14:paraId="0C023683" w14:textId="7B5FED00" w:rsidR="00693D8F" w:rsidRPr="005F5F9D" w:rsidRDefault="00EF31E6" w:rsidP="00934F57">
            <w:pPr>
              <w:spacing w:line="276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BA3B11">
              <w:rPr>
                <w:rFonts w:cs="Times New Roman"/>
                <w:b/>
                <w:szCs w:val="24"/>
              </w:rPr>
              <w:t>4 524</w:t>
            </w:r>
          </w:p>
        </w:tc>
      </w:tr>
    </w:tbl>
    <w:p w14:paraId="1CAD5D59" w14:textId="77777777" w:rsidR="00693D8F" w:rsidRPr="00FF1BB8" w:rsidRDefault="00693D8F" w:rsidP="00693D8F">
      <w:pPr>
        <w:spacing w:line="360" w:lineRule="auto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693D8F" w14:paraId="4893A051" w14:textId="77777777" w:rsidTr="005F5F9D">
        <w:tc>
          <w:tcPr>
            <w:tcW w:w="3964" w:type="dxa"/>
          </w:tcPr>
          <w:p w14:paraId="41E2EFE1" w14:textId="77777777" w:rsidR="00693D8F" w:rsidRPr="00727C72" w:rsidRDefault="00693D8F" w:rsidP="00A84C2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94" w:type="dxa"/>
          </w:tcPr>
          <w:p w14:paraId="3A196EB1" w14:textId="77777777" w:rsidR="00693D8F" w:rsidRDefault="00693D8F" w:rsidP="00A84C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404" w:type="dxa"/>
          </w:tcPr>
          <w:p w14:paraId="7CB861FA" w14:textId="77777777" w:rsidR="00693D8F" w:rsidRDefault="00693D8F" w:rsidP="00A84C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12DB6F8E" w14:textId="77777777" w:rsidTr="005F5F9D">
        <w:tc>
          <w:tcPr>
            <w:tcW w:w="3964" w:type="dxa"/>
          </w:tcPr>
          <w:p w14:paraId="627A1DDD" w14:textId="77777777" w:rsidR="00693D8F" w:rsidRPr="00727C72" w:rsidRDefault="00693D8F" w:rsidP="00A84C2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Omafinantseering</w:t>
            </w:r>
          </w:p>
        </w:tc>
        <w:tc>
          <w:tcPr>
            <w:tcW w:w="2694" w:type="dxa"/>
          </w:tcPr>
          <w:p w14:paraId="01D88A58" w14:textId="6DC696CB" w:rsidR="00693D8F" w:rsidRPr="005F5F9D" w:rsidRDefault="005F5F9D" w:rsidP="00A84C23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 w:rsidRPr="005F5F9D">
              <w:rPr>
                <w:rFonts w:cs="Times New Roman"/>
                <w:bCs/>
                <w:szCs w:val="24"/>
              </w:rPr>
              <w:t xml:space="preserve">1 </w:t>
            </w:r>
            <w:r w:rsidR="00D47DE7">
              <w:rPr>
                <w:rFonts w:cs="Times New Roman"/>
                <w:bCs/>
                <w:szCs w:val="24"/>
              </w:rPr>
              <w:t>5</w:t>
            </w:r>
            <w:r w:rsidRPr="005F5F9D">
              <w:rPr>
                <w:rFonts w:cs="Times New Roman"/>
                <w:bCs/>
                <w:szCs w:val="24"/>
              </w:rPr>
              <w:t>00</w:t>
            </w:r>
          </w:p>
        </w:tc>
        <w:tc>
          <w:tcPr>
            <w:tcW w:w="2404" w:type="dxa"/>
          </w:tcPr>
          <w:p w14:paraId="6B400A63" w14:textId="7ED10D50" w:rsidR="00693D8F" w:rsidRPr="005F5F9D" w:rsidRDefault="00BA3B11" w:rsidP="00EF31E6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5 399</w:t>
            </w:r>
          </w:p>
        </w:tc>
      </w:tr>
      <w:tr w:rsidR="00693D8F" w14:paraId="734A75D1" w14:textId="77777777" w:rsidTr="005F5F9D">
        <w:tc>
          <w:tcPr>
            <w:tcW w:w="3964" w:type="dxa"/>
          </w:tcPr>
          <w:p w14:paraId="0753613F" w14:textId="5C148988" w:rsidR="00693D8F" w:rsidRPr="00727C72" w:rsidRDefault="005F5F9D" w:rsidP="00A84C2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IOT toetus</w:t>
            </w:r>
          </w:p>
        </w:tc>
        <w:tc>
          <w:tcPr>
            <w:tcW w:w="2694" w:type="dxa"/>
          </w:tcPr>
          <w:p w14:paraId="24C66C61" w14:textId="1487F1B4" w:rsidR="00693D8F" w:rsidRPr="005F5F9D" w:rsidRDefault="005F5F9D" w:rsidP="00A84C23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 w:rsidRPr="005F5F9D">
              <w:rPr>
                <w:rFonts w:cs="Times New Roman"/>
                <w:bCs/>
                <w:szCs w:val="24"/>
              </w:rPr>
              <w:t xml:space="preserve"> </w:t>
            </w:r>
            <w:r w:rsidR="00617DA5">
              <w:rPr>
                <w:rFonts w:cs="Times New Roman"/>
                <w:bCs/>
                <w:szCs w:val="24"/>
              </w:rPr>
              <w:t>24</w:t>
            </w:r>
            <w:r w:rsidRPr="005F5F9D">
              <w:rPr>
                <w:rFonts w:cs="Times New Roman"/>
                <w:bCs/>
                <w:szCs w:val="24"/>
              </w:rPr>
              <w:t xml:space="preserve"> 000</w:t>
            </w:r>
          </w:p>
        </w:tc>
        <w:tc>
          <w:tcPr>
            <w:tcW w:w="2404" w:type="dxa"/>
          </w:tcPr>
          <w:p w14:paraId="6B388B72" w14:textId="533E70ED" w:rsidR="00693D8F" w:rsidRPr="005F5F9D" w:rsidRDefault="00EF31E6" w:rsidP="00A84C23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19 125</w:t>
            </w:r>
          </w:p>
        </w:tc>
      </w:tr>
      <w:tr w:rsidR="00693D8F" w14:paraId="5AA17878" w14:textId="77777777" w:rsidTr="005F5F9D">
        <w:tc>
          <w:tcPr>
            <w:tcW w:w="3964" w:type="dxa"/>
          </w:tcPr>
          <w:p w14:paraId="31E61BB6" w14:textId="77777777" w:rsidR="00693D8F" w:rsidRDefault="00693D8F" w:rsidP="00A84C23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2694" w:type="dxa"/>
          </w:tcPr>
          <w:p w14:paraId="63C1EAAF" w14:textId="3BE3FFCD" w:rsidR="00693D8F" w:rsidRPr="005F5F9D" w:rsidRDefault="00617DA5" w:rsidP="00A84C23">
            <w:pPr>
              <w:spacing w:line="276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25 5</w:t>
            </w:r>
            <w:r w:rsidR="005F5F9D" w:rsidRPr="005F5F9D">
              <w:rPr>
                <w:rFonts w:cs="Times New Roman"/>
                <w:b/>
                <w:szCs w:val="24"/>
              </w:rPr>
              <w:t>00</w:t>
            </w:r>
          </w:p>
        </w:tc>
        <w:tc>
          <w:tcPr>
            <w:tcW w:w="2404" w:type="dxa"/>
          </w:tcPr>
          <w:p w14:paraId="2155260D" w14:textId="45FBDC60" w:rsidR="00693D8F" w:rsidRPr="005F5F9D" w:rsidRDefault="00EF31E6" w:rsidP="00A84C23">
            <w:pPr>
              <w:spacing w:line="276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BA3B11">
              <w:rPr>
                <w:rFonts w:cs="Times New Roman"/>
                <w:b/>
                <w:szCs w:val="24"/>
              </w:rPr>
              <w:t>4 524</w:t>
            </w:r>
          </w:p>
        </w:tc>
      </w:tr>
    </w:tbl>
    <w:p w14:paraId="7F9772D3" w14:textId="77777777" w:rsidR="00693D8F" w:rsidRPr="00FF7991" w:rsidRDefault="00693D8F" w:rsidP="00693D8F">
      <w:pPr>
        <w:jc w:val="left"/>
        <w:rPr>
          <w:b/>
          <w:bCs/>
          <w:color w:val="000000" w:themeColor="text1"/>
        </w:rPr>
      </w:pPr>
    </w:p>
    <w:p w14:paraId="62E833A7" w14:textId="77777777" w:rsidR="00572FA1" w:rsidRDefault="00572FA1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480"/>
    <w:multiLevelType w:val="multilevel"/>
    <w:tmpl w:val="0A165C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1B396A"/>
    <w:multiLevelType w:val="hybridMultilevel"/>
    <w:tmpl w:val="1A14B980"/>
    <w:lvl w:ilvl="0" w:tplc="7EAE46B6">
      <w:start w:val="5"/>
      <w:numFmt w:val="bullet"/>
      <w:lvlText w:val="‒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5BC8"/>
    <w:multiLevelType w:val="multilevel"/>
    <w:tmpl w:val="812AB2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2C4FBF"/>
    <w:multiLevelType w:val="hybridMultilevel"/>
    <w:tmpl w:val="507629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416">
    <w:abstractNumId w:val="1"/>
  </w:num>
  <w:num w:numId="2" w16cid:durableId="920405726">
    <w:abstractNumId w:val="0"/>
  </w:num>
  <w:num w:numId="3" w16cid:durableId="2110811887">
    <w:abstractNumId w:val="3"/>
  </w:num>
  <w:num w:numId="4" w16cid:durableId="83238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137EBE"/>
    <w:rsid w:val="00173517"/>
    <w:rsid w:val="001E3E3D"/>
    <w:rsid w:val="00240A48"/>
    <w:rsid w:val="00271E79"/>
    <w:rsid w:val="002738DE"/>
    <w:rsid w:val="00401CE2"/>
    <w:rsid w:val="0054548D"/>
    <w:rsid w:val="005612C2"/>
    <w:rsid w:val="00572FA1"/>
    <w:rsid w:val="005C2C0D"/>
    <w:rsid w:val="005E5800"/>
    <w:rsid w:val="005F5F9D"/>
    <w:rsid w:val="00617DA5"/>
    <w:rsid w:val="00693D8F"/>
    <w:rsid w:val="006B276E"/>
    <w:rsid w:val="007228B3"/>
    <w:rsid w:val="0085303A"/>
    <w:rsid w:val="008B5EFE"/>
    <w:rsid w:val="00934F57"/>
    <w:rsid w:val="00975EB1"/>
    <w:rsid w:val="00A561F8"/>
    <w:rsid w:val="00A84C23"/>
    <w:rsid w:val="00AE3CEB"/>
    <w:rsid w:val="00BA3B11"/>
    <w:rsid w:val="00CE4160"/>
    <w:rsid w:val="00D47DE7"/>
    <w:rsid w:val="00D84FDD"/>
    <w:rsid w:val="00D8659A"/>
    <w:rsid w:val="00E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982"/>
  <w15:chartTrackingRefBased/>
  <w15:docId w15:val="{DEC5BAC1-7D9C-4B9F-B21C-9F2B8FF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8F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B1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D8F"/>
    <w:rPr>
      <w:color w:val="0000FF"/>
      <w:u w:val="single"/>
    </w:rPr>
  </w:style>
  <w:style w:type="table" w:styleId="TableGrid">
    <w:name w:val="Table Grid"/>
    <w:basedOn w:val="TableNorma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EB1"/>
    <w:pPr>
      <w:spacing w:after="120" w:line="240" w:lineRule="auto"/>
      <w:ind w:left="720"/>
      <w:contextualSpacing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975EB1"/>
    <w:rPr>
      <w:rFonts w:asciiTheme="majorHAnsi" w:eastAsiaTheme="majorEastAsia" w:hAnsiTheme="majorHAnsi" w:cstheme="majorBidi"/>
      <w:b/>
      <w:color w:val="000000" w:themeColor="text1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us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Piret Tibbo-Hudgins</cp:lastModifiedBy>
  <cp:revision>5</cp:revision>
  <dcterms:created xsi:type="dcterms:W3CDTF">2025-02-02T08:40:00Z</dcterms:created>
  <dcterms:modified xsi:type="dcterms:W3CDTF">2025-02-02T10:27:00Z</dcterms:modified>
</cp:coreProperties>
</file>